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89" w:rsidRPr="004F0CB1" w:rsidRDefault="00005D89">
      <w:pPr>
        <w:jc w:val="center"/>
        <w:rPr>
          <w:b/>
          <w:sz w:val="28"/>
          <w:szCs w:val="28"/>
        </w:rPr>
      </w:pPr>
      <w:r w:rsidRPr="004F0CB1">
        <w:rPr>
          <w:rFonts w:hint="eastAsia"/>
          <w:b/>
          <w:sz w:val="28"/>
          <w:szCs w:val="28"/>
        </w:rPr>
        <w:t>体育部教师八级（含）以下教研和科研考核标准</w:t>
      </w:r>
    </w:p>
    <w:p w:rsidR="00005D89" w:rsidRPr="004F0CB1" w:rsidRDefault="00005D89" w:rsidP="004F0CB1">
      <w:pPr>
        <w:ind w:firstLineChars="200" w:firstLine="31680"/>
        <w:rPr>
          <w:sz w:val="28"/>
          <w:szCs w:val="28"/>
        </w:rPr>
      </w:pPr>
      <w:r>
        <w:rPr>
          <w:rFonts w:hint="eastAsia"/>
          <w:sz w:val="28"/>
          <w:szCs w:val="28"/>
        </w:rPr>
        <w:t>根据《江苏理工学院教研和科研业绩考核办法》（江理工【</w:t>
      </w:r>
      <w:r>
        <w:rPr>
          <w:sz w:val="28"/>
          <w:szCs w:val="28"/>
        </w:rPr>
        <w:t>2016</w:t>
      </w:r>
      <w:r>
        <w:rPr>
          <w:rFonts w:hint="eastAsia"/>
          <w:sz w:val="28"/>
          <w:szCs w:val="28"/>
        </w:rPr>
        <w:t>】</w:t>
      </w:r>
      <w:r>
        <w:rPr>
          <w:sz w:val="28"/>
          <w:szCs w:val="28"/>
        </w:rPr>
        <w:t>104</w:t>
      </w:r>
      <w:r>
        <w:rPr>
          <w:rFonts w:hint="eastAsia"/>
          <w:sz w:val="28"/>
          <w:szCs w:val="28"/>
        </w:rPr>
        <w:t>号）文件精神，经体育部党政联席会讨论通过，制定本标准，自</w:t>
      </w:r>
      <w:r>
        <w:rPr>
          <w:sz w:val="28"/>
          <w:szCs w:val="28"/>
        </w:rPr>
        <w:t>2016</w:t>
      </w:r>
      <w:r>
        <w:rPr>
          <w:rFonts w:hint="eastAsia"/>
          <w:sz w:val="28"/>
          <w:szCs w:val="28"/>
        </w:rPr>
        <w:t>年</w:t>
      </w:r>
      <w:r>
        <w:rPr>
          <w:sz w:val="28"/>
          <w:szCs w:val="28"/>
        </w:rPr>
        <w:t>1</w:t>
      </w:r>
      <w:r>
        <w:rPr>
          <w:rFonts w:hint="eastAsia"/>
          <w:sz w:val="28"/>
          <w:szCs w:val="28"/>
        </w:rPr>
        <w:t>月</w:t>
      </w:r>
      <w:r>
        <w:rPr>
          <w:sz w:val="28"/>
          <w:szCs w:val="28"/>
        </w:rPr>
        <w:t>1</w:t>
      </w:r>
      <w:r>
        <w:rPr>
          <w:rFonts w:hint="eastAsia"/>
          <w:sz w:val="28"/>
          <w:szCs w:val="28"/>
        </w:rPr>
        <w:t>日起实施。</w:t>
      </w:r>
    </w:p>
    <w:p w:rsidR="00005D89" w:rsidRDefault="00005D89">
      <w:pPr>
        <w:jc w:val="center"/>
        <w:rPr>
          <w:sz w:val="28"/>
          <w:szCs w:val="28"/>
        </w:rPr>
      </w:pPr>
      <w:r>
        <w:rPr>
          <w:sz w:val="28"/>
          <w:szCs w:val="28"/>
        </w:rPr>
        <w:t xml:space="preserve"> </w:t>
      </w:r>
      <w:r>
        <w:rPr>
          <w:rFonts w:hint="eastAsia"/>
          <w:sz w:val="28"/>
          <w:szCs w:val="28"/>
        </w:rPr>
        <w:t>聘期教科研业绩考核标准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7"/>
        <w:gridCol w:w="1530"/>
        <w:gridCol w:w="1500"/>
        <w:gridCol w:w="1470"/>
        <w:gridCol w:w="1545"/>
        <w:gridCol w:w="800"/>
      </w:tblGrid>
      <w:tr w:rsidR="00005D89" w:rsidRPr="0089281C" w:rsidTr="0089281C">
        <w:trPr>
          <w:trHeight w:val="763"/>
        </w:trPr>
        <w:tc>
          <w:tcPr>
            <w:tcW w:w="1677" w:type="dxa"/>
          </w:tcPr>
          <w:p w:rsidR="00005D89" w:rsidRPr="0089281C" w:rsidRDefault="00005D89" w:rsidP="00005D89">
            <w:pPr>
              <w:snapToGrid w:val="0"/>
              <w:ind w:firstLineChars="150" w:firstLine="31680"/>
              <w:rPr>
                <w:sz w:val="28"/>
                <w:szCs w:val="28"/>
              </w:rPr>
            </w:pPr>
            <w:r w:rsidRPr="0089281C">
              <w:rPr>
                <w:rFonts w:hint="eastAsia"/>
                <w:sz w:val="24"/>
              </w:rPr>
              <w:t>岗位</w:t>
            </w:r>
          </w:p>
          <w:p w:rsidR="00005D89" w:rsidRPr="0089281C" w:rsidRDefault="00005D89" w:rsidP="00005D89">
            <w:pPr>
              <w:ind w:firstLineChars="150" w:firstLine="31680"/>
              <w:rPr>
                <w:sz w:val="28"/>
                <w:szCs w:val="28"/>
              </w:rPr>
            </w:pPr>
            <w:r w:rsidRPr="0089281C">
              <w:rPr>
                <w:rFonts w:hint="eastAsia"/>
                <w:sz w:val="24"/>
              </w:rPr>
              <w:t>类型</w:t>
            </w:r>
          </w:p>
        </w:tc>
        <w:tc>
          <w:tcPr>
            <w:tcW w:w="1530" w:type="dxa"/>
            <w:vAlign w:val="center"/>
          </w:tcPr>
          <w:p w:rsidR="00005D89" w:rsidRPr="0089281C" w:rsidRDefault="00005D89" w:rsidP="0089281C">
            <w:pPr>
              <w:jc w:val="center"/>
              <w:rPr>
                <w:sz w:val="24"/>
              </w:rPr>
            </w:pPr>
            <w:r w:rsidRPr="0089281C">
              <w:rPr>
                <w:rFonts w:hint="eastAsia"/>
                <w:sz w:val="24"/>
              </w:rPr>
              <w:t>专职科研型</w:t>
            </w:r>
          </w:p>
        </w:tc>
        <w:tc>
          <w:tcPr>
            <w:tcW w:w="1500" w:type="dxa"/>
            <w:vAlign w:val="center"/>
          </w:tcPr>
          <w:p w:rsidR="00005D89" w:rsidRPr="0089281C" w:rsidRDefault="00005D89" w:rsidP="0089281C">
            <w:pPr>
              <w:jc w:val="center"/>
              <w:rPr>
                <w:sz w:val="24"/>
              </w:rPr>
            </w:pPr>
            <w:r w:rsidRPr="0089281C">
              <w:rPr>
                <w:rFonts w:hint="eastAsia"/>
                <w:sz w:val="24"/>
              </w:rPr>
              <w:t>科研为主型</w:t>
            </w:r>
          </w:p>
        </w:tc>
        <w:tc>
          <w:tcPr>
            <w:tcW w:w="1470" w:type="dxa"/>
            <w:vAlign w:val="center"/>
          </w:tcPr>
          <w:p w:rsidR="00005D89" w:rsidRPr="0089281C" w:rsidRDefault="00005D89" w:rsidP="0089281C">
            <w:pPr>
              <w:jc w:val="center"/>
              <w:rPr>
                <w:sz w:val="24"/>
              </w:rPr>
            </w:pPr>
            <w:r w:rsidRPr="0089281C">
              <w:rPr>
                <w:rFonts w:hint="eastAsia"/>
                <w:sz w:val="24"/>
              </w:rPr>
              <w:t>教学科研型</w:t>
            </w:r>
          </w:p>
        </w:tc>
        <w:tc>
          <w:tcPr>
            <w:tcW w:w="1545" w:type="dxa"/>
            <w:vAlign w:val="center"/>
          </w:tcPr>
          <w:p w:rsidR="00005D89" w:rsidRPr="0089281C" w:rsidRDefault="00005D89" w:rsidP="0089281C">
            <w:pPr>
              <w:jc w:val="center"/>
              <w:rPr>
                <w:sz w:val="24"/>
              </w:rPr>
            </w:pPr>
            <w:r w:rsidRPr="0089281C">
              <w:rPr>
                <w:rFonts w:hint="eastAsia"/>
                <w:sz w:val="24"/>
              </w:rPr>
              <w:t>教学为主型</w:t>
            </w:r>
          </w:p>
        </w:tc>
        <w:tc>
          <w:tcPr>
            <w:tcW w:w="800" w:type="dxa"/>
            <w:vAlign w:val="center"/>
          </w:tcPr>
          <w:p w:rsidR="00005D89" w:rsidRPr="0089281C" w:rsidRDefault="00005D89" w:rsidP="0089281C">
            <w:pPr>
              <w:jc w:val="center"/>
              <w:rPr>
                <w:sz w:val="24"/>
              </w:rPr>
            </w:pPr>
            <w:r w:rsidRPr="0089281C">
              <w:rPr>
                <w:rFonts w:hint="eastAsia"/>
                <w:sz w:val="24"/>
              </w:rPr>
              <w:t>备注</w:t>
            </w:r>
          </w:p>
        </w:tc>
      </w:tr>
      <w:tr w:rsidR="00005D89" w:rsidRPr="0089281C" w:rsidTr="00CC2AA7">
        <w:trPr>
          <w:trHeight w:val="465"/>
        </w:trPr>
        <w:tc>
          <w:tcPr>
            <w:tcW w:w="1677" w:type="dxa"/>
            <w:vAlign w:val="center"/>
          </w:tcPr>
          <w:p w:rsidR="00005D89" w:rsidRPr="0089281C" w:rsidRDefault="00005D89" w:rsidP="0089281C">
            <w:pPr>
              <w:jc w:val="center"/>
              <w:rPr>
                <w:sz w:val="24"/>
              </w:rPr>
            </w:pPr>
            <w:r w:rsidRPr="0089281C">
              <w:rPr>
                <w:rFonts w:hint="eastAsia"/>
                <w:sz w:val="24"/>
              </w:rPr>
              <w:t>讲师八级</w:t>
            </w:r>
          </w:p>
        </w:tc>
        <w:tc>
          <w:tcPr>
            <w:tcW w:w="1530" w:type="dxa"/>
            <w:vAlign w:val="center"/>
          </w:tcPr>
          <w:p w:rsidR="00005D89" w:rsidRPr="00CC2AA7" w:rsidRDefault="00005D89" w:rsidP="00CC2AA7">
            <w:pPr>
              <w:autoSpaceDE w:val="0"/>
              <w:autoSpaceDN w:val="0"/>
              <w:spacing w:line="240" w:lineRule="exact"/>
              <w:jc w:val="center"/>
              <w:rPr>
                <w:rFonts w:ascii="FangSong"/>
                <w:color w:val="000000"/>
                <w:sz w:val="24"/>
              </w:rPr>
            </w:pPr>
            <w:r>
              <w:rPr>
                <w:rFonts w:ascii="FangSong" w:hAnsi="FangSong" w:cs="FangSong"/>
                <w:color w:val="000000"/>
                <w:sz w:val="24"/>
              </w:rPr>
              <w:t>3</w:t>
            </w:r>
            <w:r>
              <w:rPr>
                <w:rFonts w:ascii="FangSong" w:hAnsi="FangSong" w:cs="FangSong" w:hint="eastAsia"/>
                <w:color w:val="000000"/>
                <w:sz w:val="24"/>
              </w:rPr>
              <w:t>（</w:t>
            </w:r>
            <w:r>
              <w:rPr>
                <w:rFonts w:ascii="FangSong" w:hAnsi="FangSong" w:cs="FangSong"/>
                <w:color w:val="000000"/>
                <w:sz w:val="24"/>
              </w:rPr>
              <w:t>B</w:t>
            </w:r>
            <w:r>
              <w:rPr>
                <w:rFonts w:ascii="FangSong" w:hAnsi="FangSong" w:cs="FangSong" w:hint="eastAsia"/>
                <w:color w:val="000000"/>
                <w:sz w:val="24"/>
              </w:rPr>
              <w:t>）</w:t>
            </w:r>
          </w:p>
        </w:tc>
        <w:tc>
          <w:tcPr>
            <w:tcW w:w="1500" w:type="dxa"/>
            <w:vAlign w:val="center"/>
          </w:tcPr>
          <w:p w:rsidR="00005D89" w:rsidRPr="00CC2AA7" w:rsidRDefault="00005D89" w:rsidP="00CC2AA7">
            <w:pPr>
              <w:autoSpaceDE w:val="0"/>
              <w:autoSpaceDN w:val="0"/>
              <w:spacing w:line="240" w:lineRule="exact"/>
              <w:jc w:val="center"/>
              <w:rPr>
                <w:rFonts w:ascii="FangSong"/>
                <w:color w:val="000000"/>
                <w:sz w:val="24"/>
              </w:rPr>
            </w:pPr>
            <w:r>
              <w:rPr>
                <w:rFonts w:ascii="FangSong" w:hAnsi="FangSong" w:cs="FangSong"/>
                <w:color w:val="000000"/>
                <w:sz w:val="24"/>
              </w:rPr>
              <w:t>2</w:t>
            </w:r>
            <w:r>
              <w:rPr>
                <w:rFonts w:ascii="FangSong" w:hAnsi="FangSong" w:cs="FangSong" w:hint="eastAsia"/>
                <w:color w:val="000000"/>
                <w:sz w:val="24"/>
              </w:rPr>
              <w:t>（</w:t>
            </w:r>
            <w:r>
              <w:rPr>
                <w:rFonts w:ascii="FangSong" w:hAnsi="FangSong" w:cs="FangSong"/>
                <w:color w:val="000000"/>
                <w:sz w:val="24"/>
              </w:rPr>
              <w:t>C</w:t>
            </w:r>
            <w:r>
              <w:rPr>
                <w:rFonts w:ascii="FangSong" w:hAnsi="FangSong" w:cs="FangSong" w:hint="eastAsia"/>
                <w:color w:val="000000"/>
                <w:sz w:val="24"/>
              </w:rPr>
              <w:t>）</w:t>
            </w:r>
          </w:p>
        </w:tc>
        <w:tc>
          <w:tcPr>
            <w:tcW w:w="1470" w:type="dxa"/>
            <w:vAlign w:val="center"/>
          </w:tcPr>
          <w:p w:rsidR="00005D89" w:rsidRPr="00CC2AA7" w:rsidRDefault="00005D89" w:rsidP="00CC2AA7">
            <w:pPr>
              <w:autoSpaceDE w:val="0"/>
              <w:autoSpaceDN w:val="0"/>
              <w:spacing w:line="240" w:lineRule="exact"/>
              <w:jc w:val="center"/>
              <w:rPr>
                <w:rFonts w:ascii="FangSong"/>
                <w:color w:val="000000"/>
                <w:sz w:val="24"/>
              </w:rPr>
            </w:pPr>
            <w:r>
              <w:rPr>
                <w:rFonts w:ascii="FangSong" w:hAnsi="FangSong" w:cs="FangSong"/>
                <w:color w:val="000000"/>
                <w:sz w:val="24"/>
              </w:rPr>
              <w:t>1.5</w:t>
            </w:r>
            <w:r>
              <w:rPr>
                <w:rFonts w:ascii="FangSong" w:hAnsi="FangSong" w:cs="FangSong" w:hint="eastAsia"/>
                <w:color w:val="000000"/>
                <w:sz w:val="24"/>
              </w:rPr>
              <w:t>（</w:t>
            </w:r>
            <w:r>
              <w:rPr>
                <w:rFonts w:ascii="FangSong" w:hAnsi="FangSong" w:cs="FangSong"/>
                <w:color w:val="000000"/>
                <w:sz w:val="24"/>
              </w:rPr>
              <w:t>C</w:t>
            </w:r>
            <w:r>
              <w:rPr>
                <w:rFonts w:ascii="FangSong" w:hAnsi="FangSong" w:cs="FangSong" w:hint="eastAsia"/>
                <w:color w:val="000000"/>
                <w:sz w:val="24"/>
              </w:rPr>
              <w:t>）</w:t>
            </w:r>
          </w:p>
        </w:tc>
        <w:tc>
          <w:tcPr>
            <w:tcW w:w="1545" w:type="dxa"/>
            <w:vAlign w:val="center"/>
          </w:tcPr>
          <w:p w:rsidR="00005D89" w:rsidRPr="00CC2AA7" w:rsidRDefault="00005D89" w:rsidP="00CC2AA7">
            <w:pPr>
              <w:autoSpaceDE w:val="0"/>
              <w:autoSpaceDN w:val="0"/>
              <w:spacing w:line="240" w:lineRule="exact"/>
              <w:jc w:val="center"/>
              <w:rPr>
                <w:rFonts w:ascii="FangSong"/>
                <w:color w:val="000000"/>
                <w:sz w:val="24"/>
              </w:rPr>
            </w:pPr>
            <w:r>
              <w:rPr>
                <w:rFonts w:ascii="FangSong"/>
                <w:color w:val="000000"/>
                <w:sz w:val="24"/>
              </w:rPr>
              <w:t>1</w:t>
            </w:r>
          </w:p>
        </w:tc>
        <w:tc>
          <w:tcPr>
            <w:tcW w:w="800" w:type="dxa"/>
            <w:vAlign w:val="center"/>
          </w:tcPr>
          <w:p w:rsidR="00005D89" w:rsidRPr="0089281C" w:rsidRDefault="00005D89" w:rsidP="0089281C">
            <w:pPr>
              <w:jc w:val="center"/>
              <w:rPr>
                <w:sz w:val="24"/>
              </w:rPr>
            </w:pPr>
          </w:p>
        </w:tc>
      </w:tr>
      <w:tr w:rsidR="00005D89" w:rsidRPr="0089281C" w:rsidTr="00CC2AA7">
        <w:trPr>
          <w:trHeight w:val="465"/>
        </w:trPr>
        <w:tc>
          <w:tcPr>
            <w:tcW w:w="1677" w:type="dxa"/>
            <w:vAlign w:val="center"/>
          </w:tcPr>
          <w:p w:rsidR="00005D89" w:rsidRPr="0089281C" w:rsidRDefault="00005D89" w:rsidP="0089281C">
            <w:pPr>
              <w:jc w:val="center"/>
              <w:rPr>
                <w:sz w:val="24"/>
              </w:rPr>
            </w:pPr>
            <w:r w:rsidRPr="0089281C">
              <w:rPr>
                <w:rFonts w:hint="eastAsia"/>
                <w:sz w:val="24"/>
              </w:rPr>
              <w:t>讲师九级</w:t>
            </w:r>
          </w:p>
        </w:tc>
        <w:tc>
          <w:tcPr>
            <w:tcW w:w="1530" w:type="dxa"/>
            <w:vAlign w:val="center"/>
          </w:tcPr>
          <w:p w:rsidR="00005D89" w:rsidRPr="00CC2AA7" w:rsidRDefault="00005D89" w:rsidP="00CC2AA7">
            <w:pPr>
              <w:autoSpaceDE w:val="0"/>
              <w:autoSpaceDN w:val="0"/>
              <w:spacing w:line="470" w:lineRule="exact"/>
              <w:jc w:val="center"/>
              <w:rPr>
                <w:rFonts w:ascii="FangSong"/>
                <w:color w:val="000000"/>
                <w:sz w:val="24"/>
              </w:rPr>
            </w:pPr>
            <w:r>
              <w:rPr>
                <w:rFonts w:ascii="FangSong" w:hAnsi="FangSong" w:cs="FangSong"/>
                <w:color w:val="000000"/>
                <w:sz w:val="24"/>
              </w:rPr>
              <w:t>2</w:t>
            </w:r>
            <w:r>
              <w:rPr>
                <w:rFonts w:ascii="FangSong" w:hAnsi="FangSong" w:cs="FangSong" w:hint="eastAsia"/>
                <w:color w:val="000000"/>
                <w:sz w:val="24"/>
              </w:rPr>
              <w:t>（</w:t>
            </w:r>
            <w:r>
              <w:rPr>
                <w:rFonts w:ascii="FangSong" w:hAnsi="FangSong" w:cs="FangSong"/>
                <w:color w:val="000000"/>
                <w:sz w:val="24"/>
              </w:rPr>
              <w:t>B</w:t>
            </w:r>
            <w:r>
              <w:rPr>
                <w:rFonts w:ascii="FangSong" w:hAnsi="FangSong" w:cs="FangSong" w:hint="eastAsia"/>
                <w:color w:val="000000"/>
                <w:sz w:val="24"/>
              </w:rPr>
              <w:t>）</w:t>
            </w:r>
          </w:p>
        </w:tc>
        <w:tc>
          <w:tcPr>
            <w:tcW w:w="1500" w:type="dxa"/>
            <w:vAlign w:val="center"/>
          </w:tcPr>
          <w:p w:rsidR="00005D89" w:rsidRPr="00CC2AA7" w:rsidRDefault="00005D89" w:rsidP="00CC2AA7">
            <w:pPr>
              <w:autoSpaceDE w:val="0"/>
              <w:autoSpaceDN w:val="0"/>
              <w:spacing w:line="470" w:lineRule="exact"/>
              <w:jc w:val="center"/>
              <w:rPr>
                <w:rFonts w:ascii="FangSong"/>
                <w:color w:val="000000"/>
                <w:sz w:val="24"/>
              </w:rPr>
            </w:pPr>
            <w:r>
              <w:rPr>
                <w:rFonts w:ascii="FangSong" w:hAnsi="FangSong" w:cs="FangSong"/>
                <w:color w:val="000000"/>
                <w:sz w:val="24"/>
              </w:rPr>
              <w:t>1.5</w:t>
            </w:r>
            <w:r>
              <w:rPr>
                <w:rFonts w:ascii="FangSong" w:hAnsi="FangSong" w:cs="FangSong" w:hint="eastAsia"/>
                <w:color w:val="000000"/>
                <w:sz w:val="24"/>
              </w:rPr>
              <w:t>（</w:t>
            </w:r>
            <w:r>
              <w:rPr>
                <w:rFonts w:ascii="FangSong" w:hAnsi="FangSong" w:cs="FangSong"/>
                <w:color w:val="000000"/>
                <w:sz w:val="24"/>
              </w:rPr>
              <w:t>C</w:t>
            </w:r>
            <w:r>
              <w:rPr>
                <w:rFonts w:ascii="FangSong" w:hAnsi="FangSong" w:cs="FangSong" w:hint="eastAsia"/>
                <w:color w:val="000000"/>
                <w:sz w:val="24"/>
              </w:rPr>
              <w:t>）</w:t>
            </w:r>
          </w:p>
        </w:tc>
        <w:tc>
          <w:tcPr>
            <w:tcW w:w="1470" w:type="dxa"/>
            <w:vAlign w:val="center"/>
          </w:tcPr>
          <w:p w:rsidR="00005D89" w:rsidRPr="00CC2AA7" w:rsidRDefault="00005D89" w:rsidP="00CC2AA7">
            <w:pPr>
              <w:autoSpaceDE w:val="0"/>
              <w:autoSpaceDN w:val="0"/>
              <w:spacing w:line="470" w:lineRule="exact"/>
              <w:jc w:val="center"/>
              <w:rPr>
                <w:rFonts w:ascii="FangSong"/>
                <w:color w:val="000000"/>
                <w:sz w:val="24"/>
              </w:rPr>
            </w:pPr>
            <w:r>
              <w:rPr>
                <w:rFonts w:ascii="FangSong" w:hAnsi="FangSong" w:cs="FangSong"/>
                <w:color w:val="000000"/>
                <w:sz w:val="24"/>
              </w:rPr>
              <w:t>1</w:t>
            </w:r>
            <w:r>
              <w:rPr>
                <w:rFonts w:ascii="FangSong" w:hAnsi="FangSong" w:cs="FangSong" w:hint="eastAsia"/>
                <w:color w:val="000000"/>
                <w:sz w:val="24"/>
              </w:rPr>
              <w:t>（</w:t>
            </w:r>
            <w:r>
              <w:rPr>
                <w:rFonts w:ascii="FangSong" w:hAnsi="FangSong" w:cs="FangSong"/>
                <w:color w:val="000000"/>
                <w:sz w:val="24"/>
              </w:rPr>
              <w:t>C</w:t>
            </w:r>
            <w:r>
              <w:rPr>
                <w:rFonts w:ascii="FangSong" w:hAnsi="FangSong" w:cs="FangSong" w:hint="eastAsia"/>
                <w:color w:val="000000"/>
                <w:sz w:val="24"/>
              </w:rPr>
              <w:t>）</w:t>
            </w:r>
          </w:p>
        </w:tc>
        <w:tc>
          <w:tcPr>
            <w:tcW w:w="1545" w:type="dxa"/>
            <w:vAlign w:val="center"/>
          </w:tcPr>
          <w:p w:rsidR="00005D89" w:rsidRPr="0089281C" w:rsidRDefault="00005D89" w:rsidP="00CC2AA7">
            <w:pPr>
              <w:jc w:val="center"/>
              <w:rPr>
                <w:sz w:val="24"/>
              </w:rPr>
            </w:pPr>
            <w:r>
              <w:rPr>
                <w:sz w:val="24"/>
              </w:rPr>
              <w:t>1</w:t>
            </w:r>
          </w:p>
        </w:tc>
        <w:tc>
          <w:tcPr>
            <w:tcW w:w="800" w:type="dxa"/>
            <w:vAlign w:val="center"/>
          </w:tcPr>
          <w:p w:rsidR="00005D89" w:rsidRPr="0089281C" w:rsidRDefault="00005D89" w:rsidP="0089281C">
            <w:pPr>
              <w:jc w:val="center"/>
              <w:rPr>
                <w:sz w:val="24"/>
              </w:rPr>
            </w:pPr>
          </w:p>
        </w:tc>
      </w:tr>
      <w:tr w:rsidR="00005D89" w:rsidRPr="0089281C" w:rsidTr="00CC2AA7">
        <w:trPr>
          <w:trHeight w:val="465"/>
        </w:trPr>
        <w:tc>
          <w:tcPr>
            <w:tcW w:w="1677" w:type="dxa"/>
            <w:vAlign w:val="center"/>
          </w:tcPr>
          <w:p w:rsidR="00005D89" w:rsidRPr="0089281C" w:rsidRDefault="00005D89" w:rsidP="0089281C">
            <w:pPr>
              <w:jc w:val="center"/>
              <w:rPr>
                <w:sz w:val="24"/>
              </w:rPr>
            </w:pPr>
            <w:r w:rsidRPr="0089281C">
              <w:rPr>
                <w:rFonts w:hint="eastAsia"/>
                <w:sz w:val="24"/>
              </w:rPr>
              <w:t>讲师十级</w:t>
            </w:r>
          </w:p>
        </w:tc>
        <w:tc>
          <w:tcPr>
            <w:tcW w:w="1530" w:type="dxa"/>
            <w:vAlign w:val="center"/>
          </w:tcPr>
          <w:p w:rsidR="00005D89" w:rsidRPr="00CC2AA7" w:rsidRDefault="00005D89" w:rsidP="00CC2AA7">
            <w:pPr>
              <w:autoSpaceDE w:val="0"/>
              <w:autoSpaceDN w:val="0"/>
              <w:spacing w:line="470" w:lineRule="exact"/>
              <w:jc w:val="center"/>
              <w:rPr>
                <w:rFonts w:ascii="FangSong"/>
                <w:color w:val="000000"/>
                <w:sz w:val="24"/>
              </w:rPr>
            </w:pPr>
            <w:r>
              <w:rPr>
                <w:rFonts w:ascii="FangSong" w:hAnsi="FangSong" w:cs="FangSong"/>
                <w:color w:val="000000"/>
                <w:sz w:val="24"/>
              </w:rPr>
              <w:t>1.5</w:t>
            </w:r>
            <w:r>
              <w:rPr>
                <w:rFonts w:ascii="FangSong" w:hAnsi="FangSong" w:cs="FangSong" w:hint="eastAsia"/>
                <w:color w:val="000000"/>
                <w:sz w:val="24"/>
              </w:rPr>
              <w:t>（</w:t>
            </w:r>
            <w:r>
              <w:rPr>
                <w:rFonts w:ascii="FangSong" w:hAnsi="FangSong" w:cs="FangSong"/>
                <w:color w:val="000000"/>
                <w:sz w:val="24"/>
              </w:rPr>
              <w:t>B</w:t>
            </w:r>
            <w:r>
              <w:rPr>
                <w:rFonts w:ascii="FangSong" w:hAnsi="FangSong" w:cs="FangSong" w:hint="eastAsia"/>
                <w:color w:val="000000"/>
                <w:sz w:val="24"/>
              </w:rPr>
              <w:t>）</w:t>
            </w:r>
          </w:p>
        </w:tc>
        <w:tc>
          <w:tcPr>
            <w:tcW w:w="1500" w:type="dxa"/>
            <w:vAlign w:val="center"/>
          </w:tcPr>
          <w:p w:rsidR="00005D89" w:rsidRPr="00CC2AA7" w:rsidRDefault="00005D89" w:rsidP="00CC2AA7">
            <w:pPr>
              <w:autoSpaceDE w:val="0"/>
              <w:autoSpaceDN w:val="0"/>
              <w:spacing w:line="470" w:lineRule="exact"/>
              <w:jc w:val="center"/>
              <w:rPr>
                <w:rFonts w:ascii="FangSong"/>
                <w:color w:val="000000"/>
                <w:sz w:val="24"/>
              </w:rPr>
            </w:pPr>
            <w:r>
              <w:rPr>
                <w:rFonts w:ascii="FangSong" w:hAnsi="FangSong" w:cs="FangSong"/>
                <w:color w:val="000000"/>
                <w:sz w:val="24"/>
              </w:rPr>
              <w:t>1.5</w:t>
            </w:r>
            <w:r>
              <w:rPr>
                <w:rFonts w:ascii="FangSong" w:hAnsi="FangSong" w:cs="FangSong" w:hint="eastAsia"/>
                <w:color w:val="000000"/>
                <w:sz w:val="24"/>
              </w:rPr>
              <w:t>（</w:t>
            </w:r>
            <w:r>
              <w:rPr>
                <w:rFonts w:ascii="FangSong" w:hAnsi="FangSong" w:cs="FangSong"/>
                <w:color w:val="000000"/>
                <w:sz w:val="24"/>
              </w:rPr>
              <w:t>C</w:t>
            </w:r>
            <w:r>
              <w:rPr>
                <w:rFonts w:ascii="FangSong" w:hAnsi="FangSong" w:cs="FangSong" w:hint="eastAsia"/>
                <w:color w:val="000000"/>
                <w:sz w:val="24"/>
              </w:rPr>
              <w:t>）</w:t>
            </w:r>
          </w:p>
        </w:tc>
        <w:tc>
          <w:tcPr>
            <w:tcW w:w="1470" w:type="dxa"/>
            <w:vAlign w:val="center"/>
          </w:tcPr>
          <w:p w:rsidR="00005D89" w:rsidRPr="00CC2AA7" w:rsidRDefault="00005D89" w:rsidP="00CC2AA7">
            <w:pPr>
              <w:autoSpaceDE w:val="0"/>
              <w:autoSpaceDN w:val="0"/>
              <w:spacing w:line="470" w:lineRule="exact"/>
              <w:jc w:val="center"/>
              <w:rPr>
                <w:rFonts w:ascii="FangSong"/>
                <w:color w:val="000000"/>
                <w:sz w:val="24"/>
              </w:rPr>
            </w:pPr>
            <w:r>
              <w:rPr>
                <w:rFonts w:ascii="FangSong" w:hAnsi="FangSong" w:cs="FangSong"/>
                <w:color w:val="000000"/>
                <w:sz w:val="24"/>
              </w:rPr>
              <w:t>1</w:t>
            </w:r>
            <w:r>
              <w:rPr>
                <w:rFonts w:ascii="FangSong" w:hAnsi="FangSong" w:cs="FangSong" w:hint="eastAsia"/>
                <w:color w:val="000000"/>
                <w:sz w:val="24"/>
              </w:rPr>
              <w:t>（</w:t>
            </w:r>
            <w:r>
              <w:rPr>
                <w:rFonts w:ascii="FangSong" w:hAnsi="FangSong" w:cs="FangSong"/>
                <w:color w:val="000000"/>
                <w:sz w:val="24"/>
              </w:rPr>
              <w:t>C</w:t>
            </w:r>
            <w:r>
              <w:rPr>
                <w:rFonts w:ascii="FangSong" w:hAnsi="FangSong" w:cs="FangSong" w:hint="eastAsia"/>
                <w:color w:val="000000"/>
                <w:sz w:val="24"/>
              </w:rPr>
              <w:t>）</w:t>
            </w:r>
          </w:p>
        </w:tc>
        <w:tc>
          <w:tcPr>
            <w:tcW w:w="1545" w:type="dxa"/>
            <w:vAlign w:val="center"/>
          </w:tcPr>
          <w:p w:rsidR="00005D89" w:rsidRPr="0089281C" w:rsidRDefault="00005D89" w:rsidP="00CC2AA7">
            <w:pPr>
              <w:jc w:val="center"/>
              <w:rPr>
                <w:sz w:val="24"/>
              </w:rPr>
            </w:pPr>
            <w:r>
              <w:rPr>
                <w:sz w:val="24"/>
              </w:rPr>
              <w:t>1</w:t>
            </w:r>
          </w:p>
        </w:tc>
        <w:tc>
          <w:tcPr>
            <w:tcW w:w="800" w:type="dxa"/>
            <w:vAlign w:val="center"/>
          </w:tcPr>
          <w:p w:rsidR="00005D89" w:rsidRPr="0089281C" w:rsidRDefault="00005D89" w:rsidP="0089281C">
            <w:pPr>
              <w:jc w:val="center"/>
              <w:rPr>
                <w:sz w:val="24"/>
              </w:rPr>
            </w:pPr>
          </w:p>
        </w:tc>
      </w:tr>
      <w:tr w:rsidR="00005D89" w:rsidRPr="0089281C" w:rsidTr="00CC2AA7">
        <w:trPr>
          <w:trHeight w:val="465"/>
        </w:trPr>
        <w:tc>
          <w:tcPr>
            <w:tcW w:w="1677" w:type="dxa"/>
            <w:vAlign w:val="center"/>
          </w:tcPr>
          <w:p w:rsidR="00005D89" w:rsidRPr="0089281C" w:rsidRDefault="00005D89" w:rsidP="0089281C">
            <w:pPr>
              <w:jc w:val="center"/>
              <w:rPr>
                <w:sz w:val="24"/>
              </w:rPr>
            </w:pPr>
            <w:r>
              <w:rPr>
                <w:rFonts w:hint="eastAsia"/>
                <w:sz w:val="24"/>
              </w:rPr>
              <w:t>助教</w:t>
            </w:r>
            <w:r w:rsidRPr="0089281C">
              <w:rPr>
                <w:rFonts w:hint="eastAsia"/>
                <w:sz w:val="24"/>
              </w:rPr>
              <w:t>级</w:t>
            </w:r>
          </w:p>
        </w:tc>
        <w:tc>
          <w:tcPr>
            <w:tcW w:w="1530" w:type="dxa"/>
            <w:vAlign w:val="center"/>
          </w:tcPr>
          <w:p w:rsidR="00005D89" w:rsidRPr="00CC2AA7" w:rsidRDefault="00005D89" w:rsidP="00CC2AA7">
            <w:pPr>
              <w:autoSpaceDE w:val="0"/>
              <w:autoSpaceDN w:val="0"/>
              <w:spacing w:line="461" w:lineRule="exact"/>
              <w:jc w:val="center"/>
              <w:rPr>
                <w:rFonts w:ascii="FangSong"/>
                <w:color w:val="000000"/>
                <w:sz w:val="24"/>
              </w:rPr>
            </w:pPr>
            <w:r>
              <w:rPr>
                <w:rFonts w:ascii="FangSong" w:hAnsi="FangSong" w:cs="FangSong"/>
                <w:color w:val="000000"/>
                <w:sz w:val="24"/>
              </w:rPr>
              <w:t>1</w:t>
            </w:r>
            <w:r>
              <w:rPr>
                <w:rFonts w:ascii="FangSong" w:hAnsi="FangSong" w:cs="FangSong" w:hint="eastAsia"/>
                <w:color w:val="000000"/>
                <w:sz w:val="24"/>
              </w:rPr>
              <w:t>（</w:t>
            </w:r>
            <w:r>
              <w:rPr>
                <w:rFonts w:ascii="FangSong" w:hAnsi="FangSong" w:cs="FangSong"/>
                <w:color w:val="000000"/>
                <w:sz w:val="24"/>
              </w:rPr>
              <w:t>C</w:t>
            </w:r>
            <w:r>
              <w:rPr>
                <w:rFonts w:ascii="FangSong" w:hAnsi="FangSong" w:cs="FangSong" w:hint="eastAsia"/>
                <w:color w:val="000000"/>
                <w:sz w:val="24"/>
              </w:rPr>
              <w:t>）</w:t>
            </w:r>
          </w:p>
        </w:tc>
        <w:tc>
          <w:tcPr>
            <w:tcW w:w="1500" w:type="dxa"/>
            <w:vAlign w:val="center"/>
          </w:tcPr>
          <w:p w:rsidR="00005D89" w:rsidRPr="00CC2AA7" w:rsidRDefault="00005D89" w:rsidP="00CC2AA7">
            <w:pPr>
              <w:autoSpaceDE w:val="0"/>
              <w:autoSpaceDN w:val="0"/>
              <w:spacing w:line="461" w:lineRule="exact"/>
              <w:jc w:val="center"/>
              <w:rPr>
                <w:rFonts w:ascii="FangSong"/>
                <w:color w:val="000000"/>
                <w:sz w:val="24"/>
              </w:rPr>
            </w:pPr>
            <w:r>
              <w:rPr>
                <w:rFonts w:ascii="FangSong" w:hAnsi="FangSong" w:cs="FangSong"/>
                <w:color w:val="000000"/>
                <w:sz w:val="24"/>
              </w:rPr>
              <w:t>0.5(C)</w:t>
            </w:r>
          </w:p>
        </w:tc>
        <w:tc>
          <w:tcPr>
            <w:tcW w:w="1470" w:type="dxa"/>
            <w:vAlign w:val="center"/>
          </w:tcPr>
          <w:p w:rsidR="00005D89" w:rsidRPr="00CC2AA7" w:rsidRDefault="00005D89" w:rsidP="00CC2AA7">
            <w:pPr>
              <w:autoSpaceDE w:val="0"/>
              <w:autoSpaceDN w:val="0"/>
              <w:spacing w:line="461" w:lineRule="exact"/>
              <w:jc w:val="center"/>
              <w:rPr>
                <w:rFonts w:ascii="FangSong"/>
                <w:color w:val="000000"/>
                <w:sz w:val="24"/>
              </w:rPr>
            </w:pPr>
            <w:r>
              <w:rPr>
                <w:rFonts w:ascii="FangSong" w:hAnsi="FangSong" w:cs="FangSong"/>
                <w:color w:val="000000"/>
                <w:sz w:val="24"/>
              </w:rPr>
              <w:t>0.5</w:t>
            </w:r>
          </w:p>
        </w:tc>
        <w:tc>
          <w:tcPr>
            <w:tcW w:w="1545" w:type="dxa"/>
            <w:vAlign w:val="center"/>
          </w:tcPr>
          <w:p w:rsidR="00005D89" w:rsidRPr="0089281C" w:rsidRDefault="00005D89" w:rsidP="00CC2AA7">
            <w:pPr>
              <w:jc w:val="center"/>
              <w:rPr>
                <w:sz w:val="24"/>
              </w:rPr>
            </w:pPr>
            <w:r>
              <w:rPr>
                <w:rFonts w:ascii="FangSong" w:hAnsi="FangSong" w:cs="FangSong"/>
                <w:color w:val="000000"/>
                <w:sz w:val="24"/>
              </w:rPr>
              <w:t>0.3</w:t>
            </w:r>
          </w:p>
        </w:tc>
        <w:tc>
          <w:tcPr>
            <w:tcW w:w="800" w:type="dxa"/>
            <w:vAlign w:val="center"/>
          </w:tcPr>
          <w:p w:rsidR="00005D89" w:rsidRPr="0089281C" w:rsidRDefault="00005D89" w:rsidP="0089281C">
            <w:pPr>
              <w:jc w:val="center"/>
              <w:rPr>
                <w:sz w:val="24"/>
              </w:rPr>
            </w:pPr>
          </w:p>
        </w:tc>
      </w:tr>
    </w:tbl>
    <w:p w:rsidR="00005D89" w:rsidRDefault="00005D89">
      <w:pPr>
        <w:jc w:val="center"/>
        <w:rPr>
          <w:sz w:val="28"/>
          <w:szCs w:val="28"/>
        </w:rPr>
      </w:pPr>
    </w:p>
    <w:p w:rsidR="00005D89" w:rsidRDefault="00005D89">
      <w:pPr>
        <w:jc w:val="center"/>
        <w:rPr>
          <w:sz w:val="30"/>
          <w:szCs w:val="30"/>
        </w:rPr>
      </w:pPr>
      <w:r>
        <w:rPr>
          <w:rFonts w:hint="eastAsia"/>
          <w:sz w:val="30"/>
          <w:szCs w:val="30"/>
        </w:rPr>
        <w:t>江苏理工学院学生体育竞赛分类表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1"/>
        <w:gridCol w:w="906"/>
        <w:gridCol w:w="6785"/>
      </w:tblGrid>
      <w:tr w:rsidR="00005D89" w:rsidRPr="0089281C" w:rsidTr="00BC7B98">
        <w:trPr>
          <w:trHeight w:val="927"/>
        </w:trPr>
        <w:tc>
          <w:tcPr>
            <w:tcW w:w="831" w:type="dxa"/>
            <w:vMerge w:val="restart"/>
            <w:vAlign w:val="center"/>
          </w:tcPr>
          <w:p w:rsidR="00005D89" w:rsidRPr="0089281C" w:rsidRDefault="00005D89" w:rsidP="001F3F79">
            <w:pPr>
              <w:ind w:left="113" w:right="113"/>
              <w:rPr>
                <w:sz w:val="28"/>
                <w:szCs w:val="28"/>
              </w:rPr>
            </w:pPr>
            <w:r w:rsidRPr="0089281C">
              <w:rPr>
                <w:rFonts w:hint="eastAsia"/>
                <w:sz w:val="28"/>
                <w:szCs w:val="28"/>
              </w:rPr>
              <w:t>国家级</w:t>
            </w:r>
          </w:p>
        </w:tc>
        <w:tc>
          <w:tcPr>
            <w:tcW w:w="906" w:type="dxa"/>
            <w:vAlign w:val="center"/>
          </w:tcPr>
          <w:p w:rsidR="00005D89" w:rsidRDefault="00005D89" w:rsidP="00A57715">
            <w:r w:rsidRPr="00A57715">
              <w:rPr>
                <w:rFonts w:hint="eastAsia"/>
              </w:rPr>
              <w:t>一类</w:t>
            </w:r>
          </w:p>
          <w:p w:rsidR="00005D89" w:rsidRPr="00A57715" w:rsidRDefault="00005D89" w:rsidP="00A57715">
            <w:r w:rsidRPr="00A57715">
              <w:rPr>
                <w:rFonts w:hint="eastAsia"/>
              </w:rPr>
              <w:t>竞赛</w:t>
            </w:r>
          </w:p>
        </w:tc>
        <w:tc>
          <w:tcPr>
            <w:tcW w:w="6785" w:type="dxa"/>
            <w:vAlign w:val="center"/>
          </w:tcPr>
          <w:p w:rsidR="00005D89" w:rsidRPr="00847192" w:rsidRDefault="00005D89" w:rsidP="00A57715">
            <w:bookmarkStart w:id="0" w:name="_GoBack"/>
            <w:bookmarkEnd w:id="0"/>
            <w:r w:rsidRPr="00A57715">
              <w:rPr>
                <w:rFonts w:hint="eastAsia"/>
              </w:rPr>
              <w:t>国际体育比赛、中华人民共和国运动会、全国</w:t>
            </w:r>
            <w:r>
              <w:rPr>
                <w:rFonts w:hint="eastAsia"/>
              </w:rPr>
              <w:t>少数</w:t>
            </w:r>
            <w:r w:rsidRPr="00A57715">
              <w:rPr>
                <w:rFonts w:hint="eastAsia"/>
              </w:rPr>
              <w:t>民族</w:t>
            </w:r>
            <w:r>
              <w:rPr>
                <w:rFonts w:hint="eastAsia"/>
              </w:rPr>
              <w:t>传统</w:t>
            </w:r>
            <w:r w:rsidRPr="00A57715">
              <w:rPr>
                <w:rFonts w:hint="eastAsia"/>
              </w:rPr>
              <w:t>体育运动会</w:t>
            </w:r>
            <w:r>
              <w:rPr>
                <w:rFonts w:hint="eastAsia"/>
              </w:rPr>
              <w:t>、</w:t>
            </w:r>
            <w:r w:rsidRPr="00A57715">
              <w:rPr>
                <w:rFonts w:hint="eastAsia"/>
              </w:rPr>
              <w:t>全国大学生运动会、</w:t>
            </w:r>
          </w:p>
        </w:tc>
      </w:tr>
      <w:tr w:rsidR="00005D89" w:rsidRPr="0089281C" w:rsidTr="001F3F79">
        <w:trPr>
          <w:trHeight w:val="1788"/>
        </w:trPr>
        <w:tc>
          <w:tcPr>
            <w:tcW w:w="831" w:type="dxa"/>
            <w:vMerge/>
            <w:vAlign w:val="center"/>
          </w:tcPr>
          <w:p w:rsidR="00005D89" w:rsidRPr="0089281C" w:rsidRDefault="00005D89" w:rsidP="001F3F79">
            <w:pPr>
              <w:rPr>
                <w:sz w:val="28"/>
                <w:szCs w:val="28"/>
              </w:rPr>
            </w:pPr>
          </w:p>
        </w:tc>
        <w:tc>
          <w:tcPr>
            <w:tcW w:w="906" w:type="dxa"/>
            <w:vAlign w:val="center"/>
          </w:tcPr>
          <w:p w:rsidR="00005D89" w:rsidRDefault="00005D89" w:rsidP="00A57715">
            <w:r w:rsidRPr="00A57715">
              <w:rPr>
                <w:rFonts w:hint="eastAsia"/>
              </w:rPr>
              <w:t>二类</w:t>
            </w:r>
          </w:p>
          <w:p w:rsidR="00005D89" w:rsidRPr="00A57715" w:rsidRDefault="00005D89" w:rsidP="00A57715">
            <w:r w:rsidRPr="00A57715">
              <w:rPr>
                <w:rFonts w:hint="eastAsia"/>
              </w:rPr>
              <w:t>竞赛</w:t>
            </w:r>
          </w:p>
        </w:tc>
        <w:tc>
          <w:tcPr>
            <w:tcW w:w="6785" w:type="dxa"/>
            <w:vAlign w:val="center"/>
          </w:tcPr>
          <w:p w:rsidR="00005D89" w:rsidRPr="00A57715" w:rsidRDefault="00005D89" w:rsidP="001F3F79">
            <w:r w:rsidRPr="00A57715">
              <w:rPr>
                <w:rFonts w:hint="eastAsia"/>
              </w:rPr>
              <w:t>由国家体育总局或教育部委托高等学校各专业教学指导委员会主办或经学校教学委员会认定的全国性学会</w:t>
            </w:r>
            <w:r w:rsidRPr="00A57715">
              <w:t>(</w:t>
            </w:r>
            <w:r w:rsidRPr="00A57715">
              <w:rPr>
                <w:rFonts w:hint="eastAsia"/>
              </w:rPr>
              <w:t>协会</w:t>
            </w:r>
            <w:r w:rsidRPr="00A57715">
              <w:t>)</w:t>
            </w:r>
            <w:r w:rsidRPr="00A57715">
              <w:rPr>
                <w:rFonts w:hint="eastAsia"/>
              </w:rPr>
              <w:t>主办的全国范围内有较大社会影响力的体育竞赛，包括大学生体育协会主办的各类体育竞赛，如：全国大学生田径赛、</w:t>
            </w:r>
            <w:r w:rsidRPr="00A57715">
              <w:t>CUBA</w:t>
            </w:r>
            <w:r w:rsidRPr="00A57715">
              <w:rPr>
                <w:rFonts w:hint="eastAsia"/>
              </w:rPr>
              <w:t>、大学生足球</w:t>
            </w:r>
            <w:r>
              <w:rPr>
                <w:rFonts w:hint="eastAsia"/>
              </w:rPr>
              <w:t>联赛</w:t>
            </w:r>
            <w:r w:rsidRPr="00A57715">
              <w:rPr>
                <w:rFonts w:hint="eastAsia"/>
              </w:rPr>
              <w:t>、大学生排球</w:t>
            </w:r>
            <w:r>
              <w:rPr>
                <w:rFonts w:hint="eastAsia"/>
              </w:rPr>
              <w:t>联</w:t>
            </w:r>
            <w:r w:rsidRPr="00A57715">
              <w:rPr>
                <w:rFonts w:hint="eastAsia"/>
              </w:rPr>
              <w:t>赛、大学生乒乓球赛、大学生羽毛球赛、大学生网球赛、大学生武术赛、大学生健美</w:t>
            </w:r>
            <w:r>
              <w:rPr>
                <w:rFonts w:hint="eastAsia"/>
              </w:rPr>
              <w:t>健身</w:t>
            </w:r>
            <w:r w:rsidRPr="00A57715">
              <w:rPr>
                <w:rFonts w:hint="eastAsia"/>
              </w:rPr>
              <w:t>操</w:t>
            </w:r>
            <w:r>
              <w:rPr>
                <w:rFonts w:hint="eastAsia"/>
              </w:rPr>
              <w:t>类（包括健美操、啦啦操、瑜伽、体育舞蹈、健美）比</w:t>
            </w:r>
            <w:r w:rsidRPr="00A57715">
              <w:rPr>
                <w:rFonts w:hint="eastAsia"/>
              </w:rPr>
              <w:t>赛、大学生舞龙舞狮赛、大学生龙舟赛、大学生民族传统</w:t>
            </w:r>
            <w:r>
              <w:rPr>
                <w:rFonts w:hint="eastAsia"/>
              </w:rPr>
              <w:t>体育</w:t>
            </w:r>
            <w:r w:rsidRPr="00A57715">
              <w:rPr>
                <w:rFonts w:hint="eastAsia"/>
              </w:rPr>
              <w:t>项目比赛等</w:t>
            </w:r>
          </w:p>
        </w:tc>
      </w:tr>
      <w:tr w:rsidR="00005D89" w:rsidRPr="0089281C" w:rsidTr="00BC7B98">
        <w:trPr>
          <w:trHeight w:val="910"/>
        </w:trPr>
        <w:tc>
          <w:tcPr>
            <w:tcW w:w="831" w:type="dxa"/>
            <w:vMerge/>
            <w:vAlign w:val="center"/>
          </w:tcPr>
          <w:p w:rsidR="00005D89" w:rsidRPr="0089281C" w:rsidRDefault="00005D89" w:rsidP="001F3F79">
            <w:pPr>
              <w:rPr>
                <w:sz w:val="28"/>
                <w:szCs w:val="28"/>
              </w:rPr>
            </w:pPr>
          </w:p>
        </w:tc>
        <w:tc>
          <w:tcPr>
            <w:tcW w:w="906" w:type="dxa"/>
            <w:vAlign w:val="center"/>
          </w:tcPr>
          <w:p w:rsidR="00005D89" w:rsidRDefault="00005D89" w:rsidP="00A57715">
            <w:r w:rsidRPr="00A57715">
              <w:rPr>
                <w:rFonts w:hint="eastAsia"/>
              </w:rPr>
              <w:t>三类</w:t>
            </w:r>
          </w:p>
          <w:p w:rsidR="00005D89" w:rsidRPr="00A57715" w:rsidRDefault="00005D89" w:rsidP="00A57715">
            <w:r w:rsidRPr="00A57715">
              <w:rPr>
                <w:rFonts w:hint="eastAsia"/>
              </w:rPr>
              <w:t>竞赛</w:t>
            </w:r>
          </w:p>
        </w:tc>
        <w:tc>
          <w:tcPr>
            <w:tcW w:w="6785" w:type="dxa"/>
            <w:vAlign w:val="center"/>
          </w:tcPr>
          <w:p w:rsidR="00005D89" w:rsidRPr="00BC7B98" w:rsidRDefault="00005D89" w:rsidP="00BC7B98">
            <w:pPr>
              <w:autoSpaceDE w:val="0"/>
              <w:autoSpaceDN w:val="0"/>
              <w:spacing w:line="274" w:lineRule="exact"/>
              <w:rPr>
                <w:rFonts w:ascii="FangSong" w:hAnsi="FangSong" w:cs="FangSong"/>
                <w:color w:val="000000"/>
                <w:spacing w:val="-1"/>
              </w:rPr>
            </w:pPr>
            <w:r>
              <w:rPr>
                <w:rFonts w:ascii="FangSong" w:hAnsi="FangSong" w:cs="FangSong" w:hint="eastAsia"/>
                <w:color w:val="000000"/>
                <w:spacing w:val="-1"/>
              </w:rPr>
              <w:t>由全国性学会</w:t>
            </w:r>
            <w:r>
              <w:rPr>
                <w:rFonts w:ascii="FangSong" w:hAnsi="FangSong" w:cs="FangSong"/>
                <w:color w:val="000000"/>
                <w:spacing w:val="-1"/>
              </w:rPr>
              <w:t>(</w:t>
            </w:r>
            <w:r>
              <w:rPr>
                <w:rFonts w:ascii="FangSong" w:hAnsi="FangSong" w:cs="FangSong" w:hint="eastAsia"/>
                <w:color w:val="000000"/>
                <w:spacing w:val="-1"/>
              </w:rPr>
              <w:t>协会</w:t>
            </w:r>
            <w:r>
              <w:rPr>
                <w:rFonts w:ascii="FangSong" w:hAnsi="FangSong" w:cs="FangSong"/>
                <w:color w:val="000000"/>
                <w:spacing w:val="-1"/>
              </w:rPr>
              <w:t>)</w:t>
            </w:r>
            <w:r>
              <w:rPr>
                <w:rFonts w:ascii="FangSong" w:hAnsi="FangSong" w:cs="FangSong" w:hint="eastAsia"/>
                <w:color w:val="000000"/>
                <w:spacing w:val="-1"/>
              </w:rPr>
              <w:t>等主办的部分地区参加有一定影响力的体育竞赛，包括：全国性的大学生体育竞赛分区赛、分站赛。</w:t>
            </w:r>
          </w:p>
        </w:tc>
      </w:tr>
      <w:tr w:rsidR="00005D89" w:rsidRPr="0089281C" w:rsidTr="00BC7B98">
        <w:trPr>
          <w:trHeight w:val="921"/>
        </w:trPr>
        <w:tc>
          <w:tcPr>
            <w:tcW w:w="831" w:type="dxa"/>
            <w:vMerge w:val="restart"/>
            <w:vAlign w:val="center"/>
          </w:tcPr>
          <w:p w:rsidR="00005D89" w:rsidRPr="0089281C" w:rsidRDefault="00005D89" w:rsidP="001F3F79">
            <w:pPr>
              <w:ind w:left="113" w:right="113"/>
              <w:rPr>
                <w:sz w:val="28"/>
                <w:szCs w:val="28"/>
              </w:rPr>
            </w:pPr>
            <w:r w:rsidRPr="0089281C">
              <w:rPr>
                <w:rFonts w:hint="eastAsia"/>
                <w:sz w:val="28"/>
                <w:szCs w:val="28"/>
              </w:rPr>
              <w:t>省级</w:t>
            </w:r>
          </w:p>
        </w:tc>
        <w:tc>
          <w:tcPr>
            <w:tcW w:w="906" w:type="dxa"/>
            <w:vAlign w:val="center"/>
          </w:tcPr>
          <w:p w:rsidR="00005D89" w:rsidRDefault="00005D89" w:rsidP="00A57715">
            <w:r w:rsidRPr="00A57715">
              <w:rPr>
                <w:rFonts w:hint="eastAsia"/>
              </w:rPr>
              <w:t>一类</w:t>
            </w:r>
          </w:p>
          <w:p w:rsidR="00005D89" w:rsidRPr="00A57715" w:rsidRDefault="00005D89" w:rsidP="00A57715">
            <w:r w:rsidRPr="00A57715">
              <w:rPr>
                <w:rFonts w:hint="eastAsia"/>
              </w:rPr>
              <w:t>竞赛</w:t>
            </w:r>
          </w:p>
        </w:tc>
        <w:tc>
          <w:tcPr>
            <w:tcW w:w="6785" w:type="dxa"/>
            <w:vAlign w:val="center"/>
          </w:tcPr>
          <w:p w:rsidR="00005D89" w:rsidRPr="00A57715" w:rsidRDefault="00005D89" w:rsidP="00A57715">
            <w:pPr>
              <w:autoSpaceDE w:val="0"/>
              <w:autoSpaceDN w:val="0"/>
              <w:spacing w:line="274" w:lineRule="exact"/>
              <w:rPr>
                <w:rFonts w:ascii="FangSong"/>
                <w:color w:val="000000"/>
              </w:rPr>
            </w:pPr>
            <w:r>
              <w:rPr>
                <w:rFonts w:ascii="FangSong" w:hAnsi="FangSong" w:cs="FangSong" w:hint="eastAsia"/>
                <w:color w:val="000000"/>
                <w:spacing w:val="-1"/>
              </w:rPr>
              <w:t>为省级政府主管部门组织的大学生体育竞赛，包括：江苏省运动会、江苏省大学生运动会、江苏省民族体育运动会</w:t>
            </w:r>
          </w:p>
        </w:tc>
      </w:tr>
      <w:tr w:rsidR="00005D89" w:rsidRPr="0089281C" w:rsidTr="00BC7B98">
        <w:trPr>
          <w:trHeight w:val="764"/>
        </w:trPr>
        <w:tc>
          <w:tcPr>
            <w:tcW w:w="831" w:type="dxa"/>
            <w:vMerge/>
            <w:vAlign w:val="center"/>
          </w:tcPr>
          <w:p w:rsidR="00005D89" w:rsidRPr="0089281C" w:rsidRDefault="00005D89" w:rsidP="001F3F79">
            <w:pPr>
              <w:rPr>
                <w:sz w:val="28"/>
                <w:szCs w:val="28"/>
              </w:rPr>
            </w:pPr>
          </w:p>
        </w:tc>
        <w:tc>
          <w:tcPr>
            <w:tcW w:w="906" w:type="dxa"/>
            <w:vAlign w:val="center"/>
          </w:tcPr>
          <w:p w:rsidR="00005D89" w:rsidRDefault="00005D89" w:rsidP="00A57715">
            <w:r w:rsidRPr="00A57715">
              <w:rPr>
                <w:rFonts w:hint="eastAsia"/>
              </w:rPr>
              <w:t>二类</w:t>
            </w:r>
          </w:p>
          <w:p w:rsidR="00005D89" w:rsidRPr="00A57715" w:rsidRDefault="00005D89" w:rsidP="00A57715">
            <w:r w:rsidRPr="00A57715">
              <w:rPr>
                <w:rFonts w:hint="eastAsia"/>
              </w:rPr>
              <w:t>竞赛</w:t>
            </w:r>
          </w:p>
        </w:tc>
        <w:tc>
          <w:tcPr>
            <w:tcW w:w="6785" w:type="dxa"/>
            <w:vAlign w:val="center"/>
          </w:tcPr>
          <w:p w:rsidR="00005D89" w:rsidRPr="0089281C" w:rsidRDefault="00005D89" w:rsidP="001F3F79">
            <w:pPr>
              <w:rPr>
                <w:sz w:val="24"/>
              </w:rPr>
            </w:pPr>
            <w:r>
              <w:rPr>
                <w:rFonts w:ascii="FangSong" w:hAnsi="FangSong" w:cs="FangSong" w:hint="eastAsia"/>
                <w:color w:val="000000"/>
                <w:spacing w:val="-1"/>
              </w:rPr>
              <w:t>为江苏省大学生体育协会组织的各类单项体育竞赛。</w:t>
            </w:r>
          </w:p>
        </w:tc>
      </w:tr>
      <w:tr w:rsidR="00005D89" w:rsidRPr="0089281C" w:rsidTr="004F0CB1">
        <w:trPr>
          <w:trHeight w:val="878"/>
        </w:trPr>
        <w:tc>
          <w:tcPr>
            <w:tcW w:w="8522" w:type="dxa"/>
            <w:gridSpan w:val="3"/>
            <w:vAlign w:val="center"/>
          </w:tcPr>
          <w:p w:rsidR="00005D89" w:rsidRPr="0089281C" w:rsidRDefault="00005D89" w:rsidP="001F3F79">
            <w:pPr>
              <w:rPr>
                <w:sz w:val="28"/>
                <w:szCs w:val="28"/>
              </w:rPr>
            </w:pPr>
            <w:r w:rsidRPr="0089281C">
              <w:rPr>
                <w:rFonts w:hint="eastAsia"/>
                <w:sz w:val="24"/>
              </w:rPr>
              <w:t>注：指导学生参加上述未能列出标示的体育竞赛，经体育部教学委员会认定后分别按相应级别当量值计算。</w:t>
            </w:r>
          </w:p>
        </w:tc>
      </w:tr>
    </w:tbl>
    <w:p w:rsidR="00005D89" w:rsidRDefault="00005D89" w:rsidP="004F0CB1"/>
    <w:sectPr w:rsidR="00005D89" w:rsidSect="00B47C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FangSong">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E0E5E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62EBC8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F38022D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F03260C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CEE2B9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722FC2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B8044F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D0801B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C321F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76AF28"/>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CDD"/>
    <w:rsid w:val="00005D89"/>
    <w:rsid w:val="00111DD1"/>
    <w:rsid w:val="001F3F79"/>
    <w:rsid w:val="00217109"/>
    <w:rsid w:val="004F0CB1"/>
    <w:rsid w:val="00526396"/>
    <w:rsid w:val="00647024"/>
    <w:rsid w:val="00652128"/>
    <w:rsid w:val="0071248B"/>
    <w:rsid w:val="00820B9A"/>
    <w:rsid w:val="00847192"/>
    <w:rsid w:val="0089281C"/>
    <w:rsid w:val="009009BC"/>
    <w:rsid w:val="00A31CB7"/>
    <w:rsid w:val="00A57715"/>
    <w:rsid w:val="00B00D9B"/>
    <w:rsid w:val="00B1179E"/>
    <w:rsid w:val="00B47CDD"/>
    <w:rsid w:val="00B93780"/>
    <w:rsid w:val="00BC7B98"/>
    <w:rsid w:val="00BD426C"/>
    <w:rsid w:val="00BF211C"/>
    <w:rsid w:val="00C049A7"/>
    <w:rsid w:val="00CC2AA7"/>
    <w:rsid w:val="00D31D20"/>
    <w:rsid w:val="00D540A9"/>
    <w:rsid w:val="00DA1ABA"/>
    <w:rsid w:val="00DA3D76"/>
    <w:rsid w:val="00DB68A3"/>
    <w:rsid w:val="00FE579C"/>
    <w:rsid w:val="6DE85B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D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7C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Pages>
  <Words>112</Words>
  <Characters>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  聘期教科研业绩考核标准</dc:title>
  <dc:subject/>
  <dc:creator>Administrator</dc:creator>
  <cp:keywords/>
  <dc:description/>
  <cp:lastModifiedBy>User</cp:lastModifiedBy>
  <cp:revision>7</cp:revision>
  <cp:lastPrinted>2016-12-27T10:51:00Z</cp:lastPrinted>
  <dcterms:created xsi:type="dcterms:W3CDTF">2016-12-27T09:26:00Z</dcterms:created>
  <dcterms:modified xsi:type="dcterms:W3CDTF">2017-04-12T01:43:00Z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